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40" w:before="0" w:lineRule="auto"/>
        <w:jc w:val="center"/>
        <w:rPr/>
      </w:pPr>
      <w:r>
        <w:rPr>
          <w:rFonts w:ascii="Arial" w:cs="Arial" w:eastAsia="Arial" w:hAnsi="Arial"/>
          <w:b w:val="1"/>
          <w:bCs w:val="1"/>
          <w:color w:val="0b1b3b"/>
          <w:sz w:val="36"/>
          <w:szCs w:val="36"/>
          <w:rtl w:val="0"/>
        </w:rPr>
        <w:t xml:space="preserve">QUADATHLON CUP</w:t>
      </w:r>
      <w:r>
        <w:rPr>
          <w:rtl w:val="0"/>
        </w:rPr>
      </w:r>
    </w:p>
    <w:p w:rsidR="00000000" w:rsidDel="00000000" w:rsidP="00000000" w:rsidRDefault="00000000" w:rsidRPr="00000000" w14:paraId="00000002">
      <w:pPr>
        <w:spacing w:after="40" w:before="0" w:lineRule="auto"/>
        <w:jc w:val="center"/>
        <w:rPr/>
      </w:pPr>
      <w:r>
        <w:rPr>
          <w:rFonts w:ascii="Arial" w:cs="Arial" w:eastAsia="Arial" w:hAnsi="Arial"/>
          <w:i w:val="1"/>
          <w:iCs w:val="1"/>
          <w:color w:val="c9a24a"/>
          <w:sz w:val="20"/>
          <w:szCs w:val="20"/>
          <w:rtl w:val="0"/>
        </w:rPr>
        <w:t xml:space="preserve">QuadAcademia  ·  Excellence in Every Mind</w:t>
      </w:r>
      <w:r>
        <w:rPr>
          <w:rtl w:val="0"/>
        </w:rPr>
      </w:r>
    </w:p>
    <w:p w:rsidR="00000000" w:rsidDel="00000000" w:rsidP="00000000" w:rsidRDefault="00000000" w:rsidRPr="00000000" w14:paraId="00000003">
      <w:pPr>
        <w:pBdr>
          <w:bottom w:color="c9a24a" w:space="1" w:sz="12" w:val="single"/>
        </w:pBdr>
        <w:spacing w:after="160" w:before="0" w:lineRule="auto"/>
        <w:rPr/>
      </w:pPr>
      <w:r>
        <w:rPr>
          <w:rtl w:val="0"/>
        </w:rPr>
      </w:r>
    </w:p>
    <w:p w:rsidR="00000000" w:rsidDel="00000000" w:rsidP="00000000" w:rsidRDefault="00000000" w:rsidRPr="00000000" w14:paraId="00000004">
      <w:pPr>
        <w:spacing w:after="40" w:before="80" w:lineRule="auto"/>
        <w:jc w:val="center"/>
        <w:rPr/>
      </w:pPr>
      <w:r>
        <w:rPr>
          <w:rFonts w:ascii="Arial" w:cs="Arial" w:eastAsia="Arial" w:hAnsi="Arial"/>
          <w:b w:val="1"/>
          <w:bCs w:val="1"/>
          <w:color w:val="0b1b3b"/>
          <w:sz w:val="44"/>
          <w:szCs w:val="44"/>
          <w:rtl w:val="0"/>
        </w:rPr>
        <w:t xml:space="preserve">The Quadathlon Handbook</w:t>
      </w:r>
      <w:r>
        <w:rPr>
          <w:rtl w:val="0"/>
        </w:rPr>
      </w:r>
    </w:p>
    <w:p w:rsidR="00000000" w:rsidDel="00000000" w:rsidP="00000000" w:rsidRDefault="00000000" w:rsidRPr="00000000" w14:paraId="00000005">
      <w:pPr>
        <w:spacing w:after="40" w:before="0" w:lineRule="auto"/>
        <w:jc w:val="center"/>
        <w:rPr/>
      </w:pPr>
      <w:r>
        <w:rPr>
          <w:rFonts w:ascii="Arial" w:cs="Arial" w:eastAsia="Arial" w:hAnsi="Arial"/>
          <w:color w:val="2b2b2b"/>
          <w:sz w:val="24"/>
          <w:szCs w:val="24"/>
          <w:rtl w:val="0"/>
        </w:rPr>
        <w:t xml:space="preserve">Explorers Division  ·  Years 3–6</w:t>
      </w:r>
      <w:r>
        <w:rPr>
          <w:rtl w:val="0"/>
        </w:rPr>
      </w:r>
    </w:p>
    <w:p w:rsidR="00000000" w:rsidDel="00000000" w:rsidP="00000000" w:rsidRDefault="00000000" w:rsidRPr="00000000" w14:paraId="00000006">
      <w:pPr>
        <w:spacing w:after="200" w:before="0" w:lineRule="auto"/>
        <w:jc w:val="center"/>
        <w:rPr/>
      </w:pPr>
      <w:r>
        <w:rPr>
          <w:rFonts w:ascii="Arial" w:cs="Arial" w:eastAsia="Arial" w:hAnsi="Arial"/>
          <w:color w:val="c9a24a"/>
          <w:sz w:val="22"/>
          <w:szCs w:val="22"/>
          <w:rtl w:val="0"/>
        </w:rPr>
        <w:t xml:space="preserve">2026/2027 Season  ·  Annual Theme: Life on Land (SDG 15)</w:t>
      </w:r>
      <w:r>
        <w:rPr>
          <w:rtl w:val="0"/>
        </w:rPr>
      </w:r>
    </w:p>
    <w:tbl>
      <w:tblPr>
        <w:tblStyle w:val="Table1"/>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6f1e6" w:val="clear"/>
            <w:tcMar>
              <w:top w:w="160.0" w:type="dxa"/>
              <w:left w:w="200.0" w:type="dxa"/>
              <w:bottom w:w="160.0" w:type="dxa"/>
              <w:right w:w="200.0" w:type="dxa"/>
            </w:tcMar>
          </w:tcPr>
          <w:p w:rsidR="00000000" w:rsidDel="00000000" w:rsidP="00000000" w:rsidRDefault="00000000" w:rsidRPr="00000000" w14:paraId="00000007">
            <w:pPr>
              <w:spacing w:after="80" w:before="0" w:lineRule="auto"/>
              <w:rPr/>
            </w:pPr>
            <w:r>
              <w:rPr>
                <w:rFonts w:ascii="Arial" w:cs="Arial" w:eastAsia="Arial" w:hAnsi="Arial"/>
                <w:b w:val="1"/>
                <w:bCs w:val="1"/>
                <w:color w:val="0b1b3b"/>
                <w:sz w:val="22"/>
                <w:szCs w:val="22"/>
                <w:rtl w:val="0"/>
              </w:rPr>
              <w:t xml:space="preserve">This handbook is for you — the student.</w:t>
            </w:r>
            <w:r>
              <w:rPr>
                <w:rtl w:val="0"/>
              </w:rPr>
            </w:r>
          </w:p>
          <w:p w:rsidR="00000000" w:rsidDel="00000000" w:rsidP="00000000" w:rsidRDefault="00000000" w:rsidRPr="00000000" w14:paraId="00000008">
            <w:pPr>
              <w:spacing w:after="0" w:before="0" w:lineRule="auto"/>
              <w:rPr/>
            </w:pPr>
            <w:r>
              <w:rPr>
                <w:rFonts w:ascii="Arial" w:cs="Arial" w:eastAsia="Arial" w:hAnsi="Arial"/>
                <w:color w:val="2b2b2b"/>
                <w:sz w:val="22"/>
                <w:szCs w:val="22"/>
                <w:rtl w:val="0"/>
              </w:rPr>
              <w:t xml:space="preserve">It tells you what the Quadathlon Cup is, what to expect on competition day, and how to prepare confidently — at your own pace, in your own time. You do not need a teacher to set up a special programme. Everything you need is at: </w:t>
            </w:r>
            <w:hyperlink r:id="rId7" w:history="1">
              <w:r>
                <w:rPr>
                  <w:rStyle w:val="Hyperlink"/>
                  <w:rFonts w:ascii="Arial" w:cs="Arial" w:eastAsia="Arial" w:hAnsi="Arial"/>
                  <w:sz w:val="22"/>
                  <w:szCs w:val="22"/>
                </w:rPr>
                <w:t>gaqcup.com/handbook</w:t>
              </w:r>
            </w:hyperlink>
            <w:r>
              <w:rPr>
                <w:rFonts w:ascii="Arial" w:cs="Arial" w:eastAsia="Arial" w:hAnsi="Arial"/>
                <w:color w:val="2b2b2b"/>
                <w:sz w:val="22"/>
                <w:szCs w:val="22"/>
                <w:rtl w:val="0"/>
              </w:rPr>
              <w:t xml:space="preserve"/>
            </w:r>
            <w:r>
              <w:rPr>
                <w:rtl w:val="0"/>
              </w:rPr>
            </w:r>
          </w:p>
        </w:tc>
      </w:tr>
    </w:tbl>
    <w:p w:rsidR="00000000" w:rsidDel="00000000" w:rsidP="00000000" w:rsidRDefault="00000000" w:rsidRPr="00000000" w14:paraId="00000009">
      <w:pPr>
        <w:spacing w:after="0" w:before="160" w:lineRule="auto"/>
        <w:rPr/>
      </w:pPr>
      <w:r>
        <w:rPr>
          <w:rtl w:val="0"/>
        </w:rPr>
      </w:r>
    </w:p>
    <w:p w:rsidR="00000000" w:rsidDel="00000000" w:rsidP="00000000" w:rsidRDefault="00000000" w:rsidRPr="00000000" w14:paraId="0000000A">
      <w:pPr>
        <w:spacing w:after="80" w:before="320" w:lineRule="auto"/>
        <w:rPr/>
      </w:pPr>
      <w:r>
        <w:rPr>
          <w:rFonts w:ascii="Arial" w:cs="Arial" w:eastAsia="Arial" w:hAnsi="Arial"/>
          <w:b w:val="1"/>
          <w:bCs w:val="1"/>
          <w:color w:val="c9a24a"/>
          <w:sz w:val="18"/>
          <w:szCs w:val="18"/>
          <w:rtl w:val="0"/>
        </w:rPr>
        <w:t xml:space="preserve">WHAT IS THE QUADATHLON CUP?</w:t>
      </w:r>
      <w:r>
        <w:rPr>
          <w:rtl w:val="0"/>
        </w:rPr>
      </w:r>
    </w:p>
    <w:p w:rsidR="00000000" w:rsidDel="00000000" w:rsidP="00000000" w:rsidRDefault="00000000" w:rsidRPr="00000000" w14:paraId="0000000B">
      <w:pPr>
        <w:spacing w:after="80" w:before="80" w:lineRule="auto"/>
        <w:jc w:val="left"/>
        <w:rPr/>
      </w:pPr>
      <w:r>
        <w:rPr>
          <w:rFonts w:ascii="Arial" w:cs="Arial" w:eastAsia="Arial" w:hAnsi="Arial"/>
          <w:color w:val="2b2b2b"/>
          <w:sz w:val="22"/>
          <w:szCs w:val="22"/>
          <w:rtl w:val="0"/>
        </w:rPr>
        <w:t xml:space="preserve">The Quadathlon Cup is a premium international academic team competition. You will compete as part of a team of four students across seven different events over two days. The competition is built around four cognitive domains — Verbal, Quantitative, Non-Verbal, and Spatial — which means there is no single type of intelligence that wins. Whether you are strong in writing, mathematics, pattern recognition, or design thinking, there is a place for you to shine.</w:t>
      </w:r>
      <w:r>
        <w:rPr>
          <w:rtl w:val="0"/>
        </w:rPr>
      </w:r>
    </w:p>
    <w:p w:rsidR="00000000" w:rsidDel="00000000" w:rsidP="00000000" w:rsidRDefault="00000000" w:rsidRPr="00000000" w14:paraId="0000000C">
      <w:pPr>
        <w:spacing w:after="0" w:before="80" w:lineRule="auto"/>
        <w:rPr/>
      </w:pPr>
      <w:r>
        <w:rPr>
          <w:rtl w:val="0"/>
        </w:rPr>
      </w:r>
    </w:p>
    <w:p w:rsidR="00000000" w:rsidDel="00000000" w:rsidP="00000000" w:rsidRDefault="00000000" w:rsidRPr="00000000" w14:paraId="0000000D">
      <w:pPr>
        <w:spacing w:after="80" w:before="80" w:lineRule="auto"/>
        <w:jc w:val="left"/>
        <w:rPr/>
      </w:pPr>
      <w:r>
        <w:rPr>
          <w:rFonts w:ascii="Arial" w:cs="Arial" w:eastAsia="Arial" w:hAnsi="Arial"/>
          <w:color w:val="2b2b2b"/>
          <w:sz w:val="22"/>
          <w:szCs w:val="22"/>
          <w:rtl w:val="0"/>
        </w:rPr>
        <w:t xml:space="preserve">This year’s theme is Life on Land, connected to UN Sustainable Development Goal 15. Everything you study and every event you take part in connects back to this theme.</w:t>
      </w:r>
      <w:r>
        <w:rPr>
          <w:rtl w:val="0"/>
        </w:rPr>
      </w:r>
    </w:p>
    <w:p w:rsidR="00000000" w:rsidDel="00000000" w:rsidP="00000000" w:rsidRDefault="00000000" w:rsidRPr="00000000" w14:paraId="0000000E">
      <w:pPr>
        <w:spacing w:after="0" w:before="120" w:lineRule="auto"/>
        <w:rPr/>
      </w:pPr>
      <w:r>
        <w:rPr>
          <w:rtl w:val="0"/>
        </w:rPr>
      </w:r>
    </w:p>
    <w:p w:rsidR="00000000" w:rsidDel="00000000" w:rsidP="00000000" w:rsidRDefault="00000000" w:rsidRPr="00000000" w14:paraId="0000000F">
      <w:pPr>
        <w:spacing w:after="80" w:before="320" w:lineRule="auto"/>
        <w:rPr/>
      </w:pPr>
      <w:r>
        <w:rPr>
          <w:rFonts w:ascii="Arial" w:cs="Arial" w:eastAsia="Arial" w:hAnsi="Arial"/>
          <w:b w:val="1"/>
          <w:bCs w:val="1"/>
          <w:color w:val="c9a24a"/>
          <w:sz w:val="18"/>
          <w:szCs w:val="18"/>
          <w:rtl w:val="0"/>
        </w:rPr>
        <w:t xml:space="preserve">THE SEVEN EVENTS</w:t>
      </w:r>
      <w:r>
        <w:rPr>
          <w:rtl w:val="0"/>
        </w:rPr>
      </w:r>
    </w:p>
    <w:p w:rsidR="00000000" w:rsidDel="00000000" w:rsidP="00000000" w:rsidRDefault="00000000" w:rsidRPr="00000000" w14:paraId="00000010">
      <w:pPr>
        <w:spacing w:after="80" w:before="80" w:lineRule="auto"/>
        <w:jc w:val="left"/>
        <w:rPr/>
      </w:pPr>
      <w:r>
        <w:rPr>
          <w:rFonts w:ascii="Arial" w:cs="Arial" w:eastAsia="Arial" w:hAnsi="Arial"/>
          <w:color w:val="2b2b2b"/>
          <w:sz w:val="22"/>
          <w:szCs w:val="22"/>
          <w:rtl w:val="0"/>
        </w:rPr>
        <w:t xml:space="preserve">Here is what you will take part in across the two days:</w:t>
      </w:r>
      <w:r>
        <w:rPr>
          <w:rtl w:val="0"/>
        </w:rPr>
      </w:r>
    </w:p>
    <w:p w:rsidR="00000000" w:rsidDel="00000000" w:rsidP="00000000" w:rsidRDefault="00000000" w:rsidRPr="00000000" w14:paraId="00000011">
      <w:pPr>
        <w:spacing w:after="0" w:before="60" w:lineRule="auto"/>
        <w:rPr/>
      </w:pPr>
      <w:r>
        <w:rPr>
          <w:rtl w:val="0"/>
        </w:rPr>
      </w:r>
    </w:p>
    <w:tbl>
      <w:tblPr>
        <w:tblStyle w:val="Table2"/>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6f1e6" w:val="clear"/>
            <w:tcMar>
              <w:top w:w="160.0" w:type="dxa"/>
              <w:left w:w="200.0" w:type="dxa"/>
              <w:bottom w:w="160.0" w:type="dxa"/>
              <w:right w:w="200.0" w:type="dxa"/>
            </w:tcMar>
          </w:tcPr>
          <w:p w:rsidR="00000000" w:rsidDel="00000000" w:rsidP="00000000" w:rsidRDefault="00000000" w:rsidRPr="00000000" w14:paraId="00000012">
            <w:pPr>
              <w:spacing w:after="80" w:before="0" w:lineRule="auto"/>
              <w:rPr/>
            </w:pPr>
            <w:r>
              <w:rPr>
                <w:rFonts w:ascii="Arial" w:cs="Arial" w:eastAsia="Arial" w:hAnsi="Arial"/>
                <w:b w:val="1"/>
                <w:bCs w:val="1"/>
                <w:color w:val="0b1b3b"/>
                <w:sz w:val="22"/>
                <w:szCs w:val="22"/>
                <w:rtl w:val="0"/>
              </w:rPr>
              <w:t xml:space="preserve">Core Domain Events</w:t>
            </w:r>
            <w:r>
              <w:rPr>
                <w:rtl w:val="0"/>
              </w:rPr>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1"/>
                <w:bCs w:val="1"/>
                <w:i w:val="0"/>
                <w:iCs w:val="0"/>
                <w:smallCaps w:val="0"/>
                <w:strike w:val="0"/>
                <w:color w:val="0b1b3b"/>
                <w:sz w:val="22"/>
                <w:szCs w:val="22"/>
                <w:u w:val="none"/>
                <w:shd w:fill="auto" w:val="clear"/>
                <w:vertAlign w:val="baseline"/>
                <w:rtl w:val="0"/>
              </w:rPr>
              <w:t xml:space="preserve">The Written Challenge</w:t>
            </w:r>
            <w:r>
              <w:rPr>
                <w:rFonts w:ascii="Arial" w:cs="Arial" w:eastAsia="Arial" w:hAnsi="Arial"/>
                <w:b w:val="0"/>
                <w:bCs w:val="0"/>
                <w:i w:val="0"/>
                <w:iCs w:val="0"/>
                <w:smallCaps w:val="0"/>
                <w:strike w:val="0"/>
                <w:color w:val="2b2b2b"/>
                <w:sz w:val="22"/>
                <w:szCs w:val="22"/>
                <w:u w:val="none"/>
                <w:shd w:fill="auto" w:val="clear"/>
                <w:vertAlign w:val="baseline"/>
                <w:rtl w:val="0"/>
              </w:rPr>
              <w:t xml:space="preserve">  — respond to a prompt linked to the annual theme. Show your thinking, structure your ideas, and write with clarity and purpose.</w:t>
            </w:r>
            <w:r>
              <w:rPr>
                <w:rtl w:val="0"/>
              </w:rPr>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1"/>
                <w:bCs w:val="1"/>
                <w:i w:val="0"/>
                <w:iCs w:val="0"/>
                <w:smallCaps w:val="0"/>
                <w:strike w:val="0"/>
                <w:color w:val="0b1b3b"/>
                <w:sz w:val="22"/>
                <w:szCs w:val="22"/>
                <w:u w:val="none"/>
                <w:shd w:fill="auto" w:val="clear"/>
                <w:vertAlign w:val="baseline"/>
                <w:rtl w:val="0"/>
              </w:rPr>
              <w:t xml:space="preserve">The Maths Reasoning Challenge</w:t>
            </w:r>
            <w:r>
              <w:rPr>
                <w:rFonts w:ascii="Arial" w:cs="Arial" w:eastAsia="Arial" w:hAnsi="Arial"/>
                <w:b w:val="0"/>
                <w:bCs w:val="0"/>
                <w:i w:val="0"/>
                <w:iCs w:val="0"/>
                <w:smallCaps w:val="0"/>
                <w:strike w:val="0"/>
                <w:color w:val="2b2b2b"/>
                <w:sz w:val="22"/>
                <w:szCs w:val="22"/>
                <w:u w:val="none"/>
                <w:shd w:fill="auto" w:val="clear"/>
                <w:vertAlign w:val="baseline"/>
                <w:rtl w:val="0"/>
              </w:rPr>
              <w:t xml:space="preserve">  — solve real-world maths problems connected to the theme. Show your working and explain your reasoning.</w:t>
            </w:r>
            <w:r>
              <w:rPr>
                <w:rtl w:val="0"/>
              </w:rPr>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1"/>
                <w:bCs w:val="1"/>
                <w:i w:val="0"/>
                <w:iCs w:val="0"/>
                <w:smallCaps w:val="0"/>
                <w:strike w:val="0"/>
                <w:color w:val="0b1b3b"/>
                <w:sz w:val="22"/>
                <w:szCs w:val="22"/>
                <w:u w:val="none"/>
                <w:shd w:fill="auto" w:val="clear"/>
                <w:vertAlign w:val="baseline"/>
                <w:rtl w:val="0"/>
              </w:rPr>
              <w:t xml:space="preserve">The Abstract Reasoning Challenge</w:t>
            </w:r>
            <w:r>
              <w:rPr>
                <w:rFonts w:ascii="Arial" w:cs="Arial" w:eastAsia="Arial" w:hAnsi="Arial"/>
                <w:b w:val="0"/>
                <w:bCs w:val="0"/>
                <w:i w:val="0"/>
                <w:iCs w:val="0"/>
                <w:smallCaps w:val="0"/>
                <w:strike w:val="0"/>
                <w:color w:val="2b2b2b"/>
                <w:sz w:val="22"/>
                <w:szCs w:val="22"/>
                <w:u w:val="none"/>
                <w:shd w:fill="auto" w:val="clear"/>
                <w:vertAlign w:val="baseline"/>
                <w:rtl w:val="0"/>
              </w:rPr>
              <w:t xml:space="preserve">  — spot patterns, detect rules, and solve visual logic problems. No language required — just careful observation.</w:t>
            </w:r>
            <w:r>
              <w:rPr>
                <w:rtl w:val="0"/>
              </w:rPr>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1"/>
                <w:bCs w:val="1"/>
                <w:i w:val="0"/>
                <w:iCs w:val="0"/>
                <w:smallCaps w:val="0"/>
                <w:strike w:val="0"/>
                <w:color w:val="0b1b3b"/>
                <w:sz w:val="22"/>
                <w:szCs w:val="22"/>
                <w:u w:val="none"/>
                <w:shd w:fill="auto" w:val="clear"/>
                <w:vertAlign w:val="baseline"/>
                <w:rtl w:val="0"/>
              </w:rPr>
              <w:t xml:space="preserve">The Sustainable Design Challenge</w:t>
            </w:r>
            <w:r>
              <w:rPr>
                <w:rFonts w:ascii="Arial" w:cs="Arial" w:eastAsia="Arial" w:hAnsi="Arial"/>
                <w:b w:val="0"/>
                <w:bCs w:val="0"/>
                <w:i w:val="0"/>
                <w:iCs w:val="0"/>
                <w:smallCaps w:val="0"/>
                <w:strike w:val="0"/>
                <w:color w:val="2b2b2b"/>
                <w:sz w:val="22"/>
                <w:szCs w:val="22"/>
                <w:u w:val="none"/>
                <w:shd w:fill="auto" w:val="clear"/>
                <w:vertAlign w:val="baseline"/>
                <w:rtl w:val="0"/>
              </w:rPr>
              <w:t xml:space="preserve">  — respond to a real design brief. Plan, draw, and annotate a practical solution.</w:t>
            </w:r>
            <w:r>
              <w:rPr>
                <w:rtl w:val="0"/>
              </w:rPr>
            </w:r>
          </w:p>
          <w:p w:rsidR="00000000" w:rsidDel="00000000" w:rsidP="00000000" w:rsidRDefault="00000000" w:rsidRPr="00000000" w14:paraId="00000017">
            <w:pPr>
              <w:spacing w:after="0" w:before="100" w:lineRule="auto"/>
              <w:rPr/>
            </w:pPr>
            <w:r>
              <w:rPr>
                <w:rtl w:val="0"/>
              </w:rPr>
            </w:r>
          </w:p>
          <w:p w:rsidR="00000000" w:rsidDel="00000000" w:rsidP="00000000" w:rsidRDefault="00000000" w:rsidRPr="00000000" w14:paraId="00000018">
            <w:pPr>
              <w:spacing w:after="80" w:before="0" w:lineRule="auto"/>
              <w:rPr/>
            </w:pPr>
            <w:r>
              <w:rPr>
                <w:rFonts w:ascii="Arial" w:cs="Arial" w:eastAsia="Arial" w:hAnsi="Arial"/>
                <w:b w:val="1"/>
                <w:bCs w:val="1"/>
                <w:color w:val="0b1b3b"/>
                <w:sz w:val="22"/>
                <w:szCs w:val="22"/>
                <w:rtl w:val="0"/>
              </w:rPr>
              <w:t xml:space="preserve">Integrated Championship Events</w:t>
            </w:r>
            <w:r>
              <w:rPr>
                <w:rtl w:val="0"/>
              </w:rPr>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1"/>
                <w:bCs w:val="1"/>
                <w:i w:val="0"/>
                <w:iCs w:val="0"/>
                <w:smallCaps w:val="0"/>
                <w:strike w:val="0"/>
                <w:color w:val="0b1b3b"/>
                <w:sz w:val="22"/>
                <w:szCs w:val="22"/>
                <w:u w:val="none"/>
                <w:shd w:fill="auto" w:val="clear"/>
                <w:vertAlign w:val="baseline"/>
                <w:rtl w:val="0"/>
              </w:rPr>
              <w:t xml:space="preserve">The Academic Challenge</w:t>
            </w:r>
            <w:r>
              <w:rPr>
                <w:rFonts w:ascii="Arial" w:cs="Arial" w:eastAsia="Arial" w:hAnsi="Arial"/>
                <w:b w:val="0"/>
                <w:bCs w:val="0"/>
                <w:i w:val="0"/>
                <w:iCs w:val="0"/>
                <w:smallCaps w:val="0"/>
                <w:strike w:val="0"/>
                <w:color w:val="2b2b2b"/>
                <w:sz w:val="22"/>
                <w:szCs w:val="22"/>
                <w:u w:val="none"/>
                <w:shd w:fill="auto" w:val="clear"/>
                <w:vertAlign w:val="baseline"/>
                <w:rtl w:val="0"/>
              </w:rPr>
              <w:t xml:space="preserve">  — a broad knowledge paper across all eight subjects. Use what you have studied to answer questions and interpret source material.</w:t>
            </w:r>
            <w:r>
              <w:rPr>
                <w:rtl w:val="0"/>
              </w:rPr>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1"/>
                <w:bCs w:val="1"/>
                <w:i w:val="0"/>
                <w:iCs w:val="0"/>
                <w:smallCaps w:val="0"/>
                <w:strike w:val="0"/>
                <w:color w:val="0b1b3b"/>
                <w:sz w:val="22"/>
                <w:szCs w:val="22"/>
                <w:u w:val="none"/>
                <w:shd w:fill="auto" w:val="clear"/>
                <w:vertAlign w:val="baseline"/>
                <w:rtl w:val="0"/>
              </w:rPr>
              <w:t xml:space="preserve">The STEM Innovation Pitch</w:t>
            </w:r>
            <w:r>
              <w:rPr>
                <w:rFonts w:ascii="Arial" w:cs="Arial" w:eastAsia="Arial" w:hAnsi="Arial"/>
                <w:b w:val="0"/>
                <w:bCs w:val="0"/>
                <w:i w:val="0"/>
                <w:iCs w:val="0"/>
                <w:smallCaps w:val="0"/>
                <w:strike w:val="0"/>
                <w:color w:val="2b2b2b"/>
                <w:sz w:val="22"/>
                <w:szCs w:val="22"/>
                <w:u w:val="none"/>
                <w:shd w:fill="auto" w:val="clear"/>
                <w:vertAlign w:val="baseline"/>
                <w:rtl w:val="0"/>
              </w:rPr>
              <w:t xml:space="preserve">  — work as a team to design a solution to a real problem and pitch it to judges.</w:t>
            </w:r>
            <w:r>
              <w:rPr>
                <w:rtl w:val="0"/>
              </w:rPr>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1"/>
                <w:bCs w:val="1"/>
                <w:i w:val="0"/>
                <w:iCs w:val="0"/>
                <w:smallCaps w:val="0"/>
                <w:strike w:val="0"/>
                <w:color w:val="0b1b3b"/>
                <w:sz w:val="22"/>
                <w:szCs w:val="22"/>
                <w:u w:val="none"/>
                <w:shd w:fill="auto" w:val="clear"/>
                <w:vertAlign w:val="baseline"/>
                <w:rtl w:val="0"/>
              </w:rPr>
              <w:t xml:space="preserve">The Quiz Match</w:t>
            </w:r>
            <w:r>
              <w:rPr>
                <w:rFonts w:ascii="Arial" w:cs="Arial" w:eastAsia="Arial" w:hAnsi="Arial"/>
                <w:b w:val="0"/>
                <w:bCs w:val="0"/>
                <w:i w:val="0"/>
                <w:iCs w:val="0"/>
                <w:smallCaps w:val="0"/>
                <w:strike w:val="0"/>
                <w:color w:val="2b2b2b"/>
                <w:sz w:val="22"/>
                <w:szCs w:val="22"/>
                <w:u w:val="none"/>
                <w:shd w:fill="auto" w:val="clear"/>
                <w:vertAlign w:val="baseline"/>
                <w:rtl w:val="0"/>
              </w:rPr>
              <w:t xml:space="preserve">  — a fast-paced live team quiz. Speed, accuracy, and calm thinking under pressure.</w:t>
            </w:r>
            <w:r>
              <w:rPr>
                <w:rtl w:val="0"/>
              </w:rPr>
            </w:r>
          </w:p>
        </w:tc>
      </w:tr>
    </w:tbl>
    <w:p w:rsidR="00000000" w:rsidDel="00000000" w:rsidP="00000000" w:rsidRDefault="00000000" w:rsidRPr="00000000" w14:paraId="0000001C">
      <w:pPr>
        <w:spacing w:after="0" w:before="160" w:lineRule="auto"/>
        <w:rPr/>
      </w:pPr>
      <w:r>
        <w:rPr>
          <w:rtl w:val="0"/>
        </w:rPr>
      </w:r>
    </w:p>
    <w:p w:rsidR="00000000" w:rsidDel="00000000" w:rsidP="00000000" w:rsidRDefault="00000000" w:rsidRPr="00000000" w14:paraId="0000001D">
      <w:pPr>
        <w:spacing w:after="80" w:before="320" w:lineRule="auto"/>
        <w:rPr>
          <w:b w:val="1"/>
          <w:bCs w:val="1"/>
          <w:color w:val="c9a24a"/>
          <w:sz w:val="18"/>
          <w:szCs w:val="18"/>
        </w:rPr>
      </w:pPr>
      <w:r>
        <w:rPr>
          <w:rtl w:val="0"/>
        </w:rPr>
      </w:r>
    </w:p>
    <w:p w:rsidR="00000000" w:rsidDel="00000000" w:rsidP="00000000" w:rsidRDefault="00000000" w:rsidRPr="00000000" w14:paraId="0000001E">
      <w:pPr>
        <w:spacing w:after="80" w:before="320" w:lineRule="auto"/>
        <w:rPr/>
      </w:pPr>
      <w:r>
        <w:rPr>
          <w:rFonts w:ascii="Arial" w:cs="Arial" w:eastAsia="Arial" w:hAnsi="Arial"/>
          <w:b w:val="1"/>
          <w:bCs w:val="1"/>
          <w:color w:val="c9a24a"/>
          <w:sz w:val="18"/>
          <w:szCs w:val="18"/>
          <w:rtl w:val="0"/>
        </w:rPr>
        <w:t xml:space="preserve">HOW TO PREPARE</w:t>
      </w:r>
      <w:r>
        <w:rPr>
          <w:rtl w:val="0"/>
        </w:rPr>
      </w:r>
    </w:p>
    <w:p w:rsidR="00000000" w:rsidDel="00000000" w:rsidP="00000000" w:rsidRDefault="00000000" w:rsidRPr="00000000" w14:paraId="0000001F">
      <w:pPr>
        <w:spacing w:after="80" w:before="80" w:lineRule="auto"/>
        <w:jc w:val="left"/>
        <w:rPr/>
      </w:pPr>
      <w:r>
        <w:rPr>
          <w:rFonts w:ascii="Arial" w:cs="Arial" w:eastAsia="Arial" w:hAnsi="Arial"/>
          <w:color w:val="2b2b2b"/>
          <w:sz w:val="22"/>
          <w:szCs w:val="22"/>
          <w:rtl w:val="0"/>
        </w:rPr>
        <w:t xml:space="preserve">Preparation is straightforward. You do not need to do anything complicated or spend hours every day. Here is the approach that works best:</w:t>
      </w:r>
      <w:r>
        <w:rPr>
          <w:rtl w:val="0"/>
        </w:rPr>
      </w:r>
    </w:p>
    <w:p w:rsidR="00000000" w:rsidDel="00000000" w:rsidP="00000000" w:rsidRDefault="00000000" w:rsidRPr="00000000" w14:paraId="00000020">
      <w:pPr>
        <w:spacing w:after="0" w:before="80" w:lineRule="auto"/>
        <w:rPr/>
      </w:pPr>
      <w:r>
        <w:rPr>
          <w:rtl w:val="0"/>
        </w:rPr>
      </w:r>
    </w:p>
    <w:p w:rsidR="00000000" w:rsidDel="00000000" w:rsidP="00000000" w:rsidRDefault="00000000" w:rsidRPr="00000000" w14:paraId="00000021">
      <w:pPr>
        <w:spacing w:after="60" w:before="100" w:lineRule="auto"/>
        <w:rPr/>
      </w:pPr>
      <w:r>
        <w:rPr>
          <w:rFonts w:ascii="Arial" w:cs="Arial" w:eastAsia="Arial" w:hAnsi="Arial"/>
          <w:b w:val="1"/>
          <w:bCs w:val="1"/>
          <w:color w:val="0b1b3b"/>
          <w:sz w:val="22"/>
          <w:szCs w:val="22"/>
          <w:rtl w:val="0"/>
        </w:rPr>
        <w:t xml:space="preserve">Step 1  ·  Read Part One of the handbook — the curriculum (</w:t>
      </w:r>
      <w:hyperlink r:id="rId7" w:history="1">
        <w:r>
          <w:rPr>
            <w:rStyle w:val="Hyperlink"/>
            <w:rFonts w:ascii="Arial" w:cs="Arial" w:eastAsia="Arial" w:hAnsi="Arial"/>
            <w:sz w:val="22"/>
            <w:szCs w:val="22"/>
          </w:rPr>
          <w:t>gaqcup.com/handbook</w:t>
        </w:r>
      </w:hyperlink>
      <w:r>
        <w:rPr>
          <w:rFonts w:ascii="Arial" w:cs="Arial" w:eastAsia="Arial" w:hAnsi="Arial"/>
          <w:color w:val="2b2b2b"/>
          <w:sz w:val="22"/>
          <w:szCs w:val="22"/>
          <w:rtl w:val="0"/>
        </w:rPr>
        <w:t xml:space="preserve">)</w:t>
      </w:r>
      <w:r>
        <w:rPr>
          <w:rtl w:val="0"/>
        </w:rPr>
      </w:r>
    </w:p>
    <w:p w:rsidR="00000000" w:rsidDel="00000000" w:rsidP="00000000" w:rsidRDefault="00000000" w:rsidRPr="00000000" w14:paraId="00000022">
      <w:pPr>
        <w:spacing w:after="80" w:before="80" w:lineRule="auto"/>
        <w:jc w:val="left"/>
        <w:rPr/>
      </w:pPr>
      <w:r>
        <w:rPr>
          <w:rFonts w:ascii="Arial" w:cs="Arial" w:eastAsia="Arial" w:hAnsi="Arial"/>
          <w:color w:val="2b2b2b"/>
          <w:sz w:val="22"/>
          <w:szCs w:val="22"/>
          <w:rtl w:val="0"/>
        </w:rPr>
        <w:t xml:space="preserve">Part One covers all eight subjects in relation to the Life on Land theme. Read through the Explorers Division sections for each subject. You do not need to memorise everything — just get familiar with the key ideas, vocabulary, and themes. Focus especially on:</w:t>
      </w:r>
      <w:r>
        <w:rPr>
          <w:rtl w:val="0"/>
        </w:rPr>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What the subject is about this year and why it connects to land, ecosystems, and stewardship</w:t>
      </w:r>
      <w:r>
        <w:rPr>
          <w:rtl w:val="0"/>
        </w:rPr>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The key vocabulary for each subject — these words will appear in the competition</w:t>
      </w:r>
      <w:r>
        <w:rPr>
          <w:rtl w:val="0"/>
        </w:rPr>
      </w:r>
    </w:p>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The examples and case studies mentioned — knowing a few well is better than knowing many vaguely</w:t>
      </w:r>
      <w:r>
        <w:rPr>
          <w:rtl w:val="0"/>
        </w:rPr>
      </w:r>
    </w:p>
    <w:p w:rsidR="00000000" w:rsidDel="00000000" w:rsidP="00000000" w:rsidRDefault="00000000" w:rsidRPr="00000000" w14:paraId="00000026">
      <w:pPr>
        <w:spacing w:after="0" w:before="80" w:lineRule="auto"/>
        <w:rPr/>
      </w:pPr>
      <w:r>
        <w:rPr>
          <w:rtl w:val="0"/>
        </w:rPr>
      </w:r>
    </w:p>
    <w:p w:rsidR="00000000" w:rsidDel="00000000" w:rsidP="00000000" w:rsidRDefault="00000000" w:rsidRPr="00000000" w14:paraId="00000027">
      <w:pPr>
        <w:spacing w:after="60" w:before="100" w:lineRule="auto"/>
        <w:rPr/>
      </w:pPr>
      <w:r>
        <w:rPr>
          <w:rFonts w:ascii="Arial" w:cs="Arial" w:eastAsia="Arial" w:hAnsi="Arial"/>
          <w:b w:val="1"/>
          <w:bCs w:val="1"/>
          <w:color w:val="0b1b3b"/>
          <w:sz w:val="22"/>
          <w:szCs w:val="22"/>
          <w:rtl w:val="0"/>
        </w:rPr>
        <w:t xml:space="preserve">Step 2  ·  Read Part Two of the handbook — on the day (</w:t>
      </w:r>
      <w:hyperlink r:id="rId7" w:history="1">
        <w:r>
          <w:rPr>
            <w:rStyle w:val="Hyperlink"/>
            <w:rFonts w:ascii="Arial" w:cs="Arial" w:eastAsia="Arial" w:hAnsi="Arial"/>
            <w:sz w:val="22"/>
            <w:szCs w:val="22"/>
          </w:rPr>
          <w:t>gaqcup.com/handbook</w:t>
        </w:r>
      </w:hyperlink>
      <w:r>
        <w:rPr>
          <w:rFonts w:ascii="Arial" w:cs="Arial" w:eastAsia="Arial" w:hAnsi="Arial"/>
          <w:color w:val="2b2b2b"/>
          <w:sz w:val="22"/>
          <w:szCs w:val="22"/>
          <w:rtl w:val="0"/>
        </w:rPr>
        <w:t xml:space="preserve">)</w:t>
      </w:r>
      <w:r>
        <w:rPr>
          <w:rtl w:val="0"/>
        </w:rPr>
      </w:r>
    </w:p>
    <w:p w:rsidR="00000000" w:rsidDel="00000000" w:rsidP="00000000" w:rsidRDefault="00000000" w:rsidRPr="00000000" w14:paraId="00000028">
      <w:pPr>
        <w:spacing w:after="80" w:before="80" w:lineRule="auto"/>
        <w:jc w:val="left"/>
        <w:rPr/>
      </w:pPr>
      <w:r>
        <w:rPr>
          <w:rFonts w:ascii="Arial" w:cs="Arial" w:eastAsia="Arial" w:hAnsi="Arial"/>
          <w:color w:val="2b2b2b"/>
          <w:sz w:val="22"/>
          <w:szCs w:val="22"/>
          <w:rtl w:val="0"/>
        </w:rPr>
        <w:t xml:space="preserve">Part Two is your on-the-day event guide. For each of the seven championship events, it tells you exactly what you will do, what strong performance looks like, and the one thing to hold in your mind when the event begins. Read each event section on the morning of that event — not all at once, and not weeks in advance.</w:t>
      </w:r>
      <w:r>
        <w:rPr>
          <w:rtl w:val="0"/>
        </w:rPr>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What the event is actually asking you to do</w:t>
      </w:r>
      <w:r>
        <w:rPr>
          <w:rtl w:val="0"/>
        </w:rPr>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What a strong response looks like — the example responses in each section are particularly useful</w:t>
      </w:r>
      <w:r>
        <w:rPr>
          <w:rtl w:val="0"/>
        </w:rPr>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The preparation steps listed for each event</w:t>
      </w:r>
      <w:r>
        <w:rPr>
          <w:rtl w:val="0"/>
        </w:rPr>
      </w:r>
    </w:p>
    <w:p w:rsidR="00000000" w:rsidDel="00000000" w:rsidP="00000000" w:rsidRDefault="00000000" w:rsidRPr="00000000" w14:paraId="0000002C">
      <w:pPr>
        <w:spacing w:after="0" w:before="80" w:lineRule="auto"/>
        <w:rPr/>
      </w:pPr>
      <w:r>
        <w:rPr>
          <w:rtl w:val="0"/>
        </w:rPr>
      </w:r>
    </w:p>
    <w:p w:rsidR="00000000" w:rsidDel="00000000" w:rsidP="00000000" w:rsidRDefault="00000000" w:rsidRPr="00000000" w14:paraId="0000002D">
      <w:pPr>
        <w:spacing w:after="60" w:before="100" w:lineRule="auto"/>
        <w:rPr/>
      </w:pPr>
      <w:r>
        <w:rPr>
          <w:rFonts w:ascii="Arial" w:cs="Arial" w:eastAsia="Arial" w:hAnsi="Arial"/>
          <w:b w:val="1"/>
          <w:bCs w:val="1"/>
          <w:color w:val="0b1b3b"/>
          <w:sz w:val="22"/>
          <w:szCs w:val="22"/>
          <w:rtl w:val="0"/>
        </w:rPr>
        <w:t xml:space="preserve">Step 3  ·  Read Part Three of the handbook — how to prepare for each event (</w:t>
      </w:r>
      <w:hyperlink r:id="rId7" w:history="1">
        <w:r>
          <w:rPr>
            <w:rStyle w:val="Hyperlink"/>
            <w:rFonts w:ascii="Arial" w:cs="Arial" w:eastAsia="Arial" w:hAnsi="Arial"/>
            <w:sz w:val="22"/>
            <w:szCs w:val="22"/>
          </w:rPr>
          <w:t>gaqcup.com/handbook</w:t>
        </w:r>
      </w:hyperlink>
      <w:r>
        <w:rPr>
          <w:rFonts w:ascii="Arial" w:cs="Arial" w:eastAsia="Arial" w:hAnsi="Arial"/>
          <w:color w:val="2b2b2b"/>
          <w:sz w:val="22"/>
          <w:szCs w:val="22"/>
          <w:rtl w:val="0"/>
        </w:rPr>
        <w:t xml:space="preserve">)</w:t>
      </w:r>
      <w:r>
        <w:rPr>
          <w:rtl w:val="0"/>
        </w:rPr>
      </w:r>
    </w:p>
    <w:p w:rsidR="00000000" w:rsidDel="00000000" w:rsidP="00000000" w:rsidRDefault="00000000" w:rsidRPr="00000000" w14:paraId="0000002E">
      <w:pPr>
        <w:spacing w:after="80" w:before="80" w:lineRule="auto"/>
        <w:jc w:val="left"/>
        <w:rPr/>
      </w:pPr>
      <w:r>
        <w:rPr>
          <w:rFonts w:ascii="Arial" w:cs="Arial" w:eastAsia="Arial" w:hAnsi="Arial"/>
          <w:color w:val="2b2b2b"/>
          <w:sz w:val="22"/>
          <w:szCs w:val="22"/>
          <w:rtl w:val="0"/>
        </w:rPr>
        <w:t xml:space="preserve">Part Three tells you how to prepare for each event specifically — what the event really requires, what to practise, and what good preparation looks like. For some events this is mostly about building knowledge through Part One. For others, particularly the STEM Innovation Pitch and the Sustainable Design Challenge, you need to practise specific skills that cannot be developed just by reading. Part Three also includes the following general habits that will serve you across all seven events:</w:t>
      </w:r>
      <w:r>
        <w:rPr>
          <w:rtl w:val="0"/>
        </w:rPr>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Summarising — after reading something, write two or three sentences that capture the key idea in your own words</w:t>
      </w:r>
      <w:r>
        <w:rPr>
          <w:rtl w:val="0"/>
        </w:rPr>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Explaining — try explaining a concept to someone else, or write an explanation as if for a reader who does not know the topic</w:t>
      </w:r>
      <w:r>
        <w:rPr>
          <w:rtl w:val="0"/>
        </w:rPr>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Comparing — given two examples, two habitats, or two ideas, what is the same and what is different?</w:t>
      </w:r>
      <w:r>
        <w:rPr>
          <w:rtl w:val="0"/>
        </w:rPr>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Pattern spotting — look for patterns in sequences, images, and data. This directly supports the Abstract Reasoning Challenge</w:t>
      </w:r>
      <w:r>
        <w:rPr>
          <w:rtl w:val="0"/>
        </w:rPr>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Quick writing — practise writing a short, clear response to a question in ten to fifteen minutes. Structure matters more than length</w:t>
      </w:r>
      <w:r>
        <w:rPr>
          <w:rtl w:val="0"/>
        </w:rPr>
      </w:r>
    </w:p>
    <w:p w:rsidR="00000000" w:rsidDel="00000000" w:rsidP="00000000" w:rsidRDefault="00000000" w:rsidRPr="00000000" w14:paraId="00000034">
      <w:pPr>
        <w:spacing w:after="0" w:before="160" w:lineRule="auto"/>
        <w:rPr/>
      </w:pPr>
      <w:r>
        <w:rPr>
          <w:rtl w:val="0"/>
        </w:rPr>
      </w:r>
    </w:p>
    <w:p w:rsidR="00000000" w:rsidDel="00000000" w:rsidP="00000000" w:rsidRDefault="00000000" w:rsidRPr="00000000" w14:paraId="00000035">
      <w:pPr>
        <w:spacing w:after="0" w:before="160" w:lineRule="auto"/>
        <w:rPr/>
      </w:pPr>
      <w:r>
        <w:rPr>
          <w:rtl w:val="0"/>
        </w:rPr>
      </w:r>
    </w:p>
    <w:p w:rsidR="00000000" w:rsidDel="00000000" w:rsidP="00000000" w:rsidRDefault="00000000" w:rsidRPr="00000000" w14:paraId="00000036">
      <w:pPr>
        <w:spacing w:after="0" w:before="160" w:lineRule="auto"/>
        <w:rPr/>
      </w:pPr>
      <w:r>
        <w:rPr>
          <w:rtl w:val="0"/>
        </w:rPr>
      </w:r>
    </w:p>
    <w:p w:rsidR="00000000" w:rsidDel="00000000" w:rsidP="00000000" w:rsidRDefault="00000000" w:rsidRPr="00000000" w14:paraId="00000037">
      <w:pPr>
        <w:spacing w:after="0" w:before="160" w:lineRule="auto"/>
        <w:rPr/>
      </w:pPr>
      <w:r>
        <w:rPr>
          <w:rtl w:val="0"/>
        </w:rPr>
      </w:r>
    </w:p>
    <w:p w:rsidR="00000000" w:rsidDel="00000000" w:rsidP="00000000" w:rsidRDefault="00000000" w:rsidRPr="00000000" w14:paraId="00000038">
      <w:pPr>
        <w:spacing w:after="0" w:before="160" w:lineRule="auto"/>
        <w:rPr/>
      </w:pPr>
      <w:r>
        <w:rPr>
          <w:rtl w:val="0"/>
        </w:rPr>
      </w:r>
    </w:p>
    <w:p w:rsidR="00000000" w:rsidDel="00000000" w:rsidP="00000000" w:rsidRDefault="00000000" w:rsidRPr="00000000" w14:paraId="00000039">
      <w:pPr>
        <w:spacing w:after="0" w:before="160" w:lineRule="auto"/>
        <w:rPr/>
      </w:pPr>
      <w:r>
        <w:rPr>
          <w:rtl w:val="0"/>
        </w:rPr>
      </w:r>
    </w:p>
    <w:p w:rsidR="00000000" w:rsidDel="00000000" w:rsidP="00000000" w:rsidRDefault="00000000" w:rsidRPr="00000000" w14:paraId="0000003A">
      <w:pPr>
        <w:spacing w:after="0" w:before="160" w:lineRule="auto"/>
        <w:rPr/>
      </w:pPr>
      <w:r>
        <w:rPr>
          <w:rtl w:val="0"/>
        </w:rPr>
      </w:r>
    </w:p>
    <w:p w:rsidR="00000000" w:rsidDel="00000000" w:rsidP="00000000" w:rsidRDefault="00000000" w:rsidRPr="00000000" w14:paraId="0000003B">
      <w:pPr>
        <w:spacing w:after="0" w:before="160" w:lineRule="auto"/>
        <w:rPr/>
      </w:pPr>
      <w:r>
        <w:rPr>
          <w:rtl w:val="0"/>
        </w:rPr>
      </w:r>
    </w:p>
    <w:p w:rsidR="00000000" w:rsidDel="00000000" w:rsidP="00000000" w:rsidRDefault="00000000" w:rsidRPr="00000000" w14:paraId="0000003C">
      <w:pPr>
        <w:spacing w:after="0" w:before="160" w:lineRule="auto"/>
        <w:rPr/>
      </w:pPr>
      <w:r>
        <w:rPr>
          <w:rtl w:val="0"/>
        </w:rPr>
      </w:r>
    </w:p>
    <w:p w:rsidR="00000000" w:rsidDel="00000000" w:rsidP="00000000" w:rsidRDefault="00000000" w:rsidRPr="00000000" w14:paraId="0000003D">
      <w:pPr>
        <w:spacing w:after="0" w:before="160" w:lineRule="auto"/>
        <w:rPr/>
      </w:pPr>
      <w:r>
        <w:rPr>
          <w:rtl w:val="0"/>
        </w:rPr>
      </w:r>
    </w:p>
    <w:p w:rsidR="00000000" w:rsidDel="00000000" w:rsidP="00000000" w:rsidRDefault="00000000" w:rsidRPr="00000000" w14:paraId="0000003D">
      <w:pPr>
        <w:spacing w:after="80" w:before="120" w:lineRule="auto"/>
        <w:jc w:val="left"/>
        <w:rPr/>
      </w:pPr>
      <w:r>
        <w:rPr>
          <w:rFonts w:ascii="Arial" w:cs="Arial" w:eastAsia="Arial" w:hAnsi="Arial"/>
          <w:color w:val="2b2b2b"/>
          <w:sz w:val="22"/>
          <w:szCs w:val="22"/>
          <w:rtl w:val="0"/>
        </w:rPr>
        <w:t xml:space="preserve">All three parts of the handbook are available at: </w:t>
      </w:r>
      <w:hyperlink r:id="rId7" w:history="1">
        <w:r>
          <w:rPr>
            <w:rStyle w:val="Hyperlink"/>
            <w:rFonts w:ascii="Arial" w:cs="Arial" w:eastAsia="Arial" w:hAnsi="Arial"/>
            <w:sz w:val="22"/>
            <w:szCs w:val="22"/>
          </w:rPr>
          <w:t>gaqcup.com/handbook</w:t>
        </w:r>
      </w:hyperlink>
    </w:p>
    <w:p w:rsidR="00000000" w:rsidDel="00000000" w:rsidP="00000000" w:rsidRDefault="00000000" w:rsidRPr="00000000" w14:paraId="0000003E">
      <w:pPr>
        <w:spacing w:after="80" w:before="320" w:lineRule="auto"/>
        <w:rPr/>
      </w:pPr>
      <w:r>
        <w:rPr>
          <w:rFonts w:ascii="Arial" w:cs="Arial" w:eastAsia="Arial" w:hAnsi="Arial"/>
          <w:b w:val="1"/>
          <w:bCs w:val="1"/>
          <w:color w:val="c9a24a"/>
          <w:sz w:val="18"/>
          <w:szCs w:val="18"/>
          <w:rtl w:val="0"/>
        </w:rPr>
        <w:t xml:space="preserve">THE EIGHT SUBJECTS AT A GLANCE</w:t>
      </w:r>
      <w:r>
        <w:rPr>
          <w:rtl w:val="0"/>
        </w:rPr>
      </w:r>
    </w:p>
    <w:p w:rsidR="00000000" w:rsidDel="00000000" w:rsidP="00000000" w:rsidRDefault="00000000" w:rsidRPr="00000000" w14:paraId="0000003F">
      <w:pPr>
        <w:spacing w:after="80" w:before="80" w:lineRule="auto"/>
        <w:jc w:val="left"/>
        <w:rPr/>
      </w:pPr>
      <w:r>
        <w:rPr>
          <w:rFonts w:ascii="Arial" w:cs="Arial" w:eastAsia="Arial" w:hAnsi="Arial"/>
          <w:color w:val="2b2b2b"/>
          <w:sz w:val="22"/>
          <w:szCs w:val="22"/>
          <w:rtl w:val="0"/>
        </w:rPr>
        <w:t xml:space="preserve">All eight subjects connect to the 2026/2027 theme of Life on Land. Here is a quick summary of what each subject covers at Explorers level:</w:t>
      </w:r>
      <w:r>
        <w:rPr>
          <w:rtl w:val="0"/>
        </w:rPr>
      </w:r>
    </w:p>
    <w:p w:rsidR="00000000" w:rsidDel="00000000" w:rsidP="00000000" w:rsidRDefault="00000000" w:rsidRPr="00000000" w14:paraId="00000040">
      <w:pPr>
        <w:spacing w:after="0" w:before="80" w:lineRule="auto"/>
        <w:rPr/>
      </w:pPr>
      <w:r>
        <w:rPr>
          <w:rtl w:val="0"/>
        </w:rPr>
      </w:r>
    </w:p>
    <w:tbl>
      <w:tblPr>
        <w:tblStyle w:val="Table3"/>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000"/>
        <w:gridCol w:w="7026"/>
        <w:tblGridChange w:id="0">
          <w:tblGrid>
            <w:gridCol w:w="2000"/>
            <w:gridCol w:w="70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b1b3b" w:val="clear"/>
            <w:tcMar>
              <w:top w:w="100.0" w:type="dxa"/>
              <w:left w:w="120.0" w:type="dxa"/>
              <w:bottom w:w="100.0" w:type="dxa"/>
              <w:right w:w="120.0" w:type="dxa"/>
            </w:tcMar>
            <w:vAlign w:val="center"/>
          </w:tcPr>
          <w:p w:rsidR="00000000" w:rsidDel="00000000" w:rsidP="00000000" w:rsidRDefault="00000000" w:rsidRPr="00000000" w14:paraId="00000041">
            <w:pPr>
              <w:jc w:val="left"/>
              <w:rPr/>
            </w:pPr>
            <w:r>
              <w:rPr>
                <w:rFonts w:ascii="Arial" w:cs="Arial" w:eastAsia="Arial" w:hAnsi="Arial"/>
                <w:b w:val="1"/>
                <w:bCs w:val="1"/>
                <w:color w:val="ffffff"/>
                <w:sz w:val="20"/>
                <w:szCs w:val="20"/>
                <w:rtl w:val="0"/>
              </w:rPr>
              <w:t xml:space="preserve">Subject</w:t>
            </w:r>
            <w:r>
              <w:rPr>
                <w:rtl w:val="0"/>
              </w:rPr>
            </w:r>
          </w:p>
        </w:tc>
        <w:tc>
          <w:tcPr>
            <w:tcBorders>
              <w:top w:color="cccccc" w:space="0" w:sz="4" w:val="single"/>
              <w:left w:color="cccccc" w:space="0" w:sz="4" w:val="single"/>
              <w:bottom w:color="cccccc" w:space="0" w:sz="4" w:val="single"/>
              <w:right w:color="cccccc" w:space="0" w:sz="4" w:val="single"/>
            </w:tcBorders>
            <w:shd w:fill="0b1b3b" w:val="clear"/>
            <w:tcMar>
              <w:top w:w="100.0" w:type="dxa"/>
              <w:left w:w="120.0" w:type="dxa"/>
              <w:bottom w:w="100.0" w:type="dxa"/>
              <w:right w:w="120.0" w:type="dxa"/>
            </w:tcMar>
          </w:tcPr>
          <w:p w:rsidR="00000000" w:rsidDel="00000000" w:rsidP="00000000" w:rsidRDefault="00000000" w:rsidRPr="00000000" w14:paraId="00000042">
            <w:pPr>
              <w:jc w:val="left"/>
              <w:rPr/>
            </w:pPr>
            <w:r>
              <w:rPr>
                <w:rFonts w:ascii="Arial" w:cs="Arial" w:eastAsia="Arial" w:hAnsi="Arial"/>
                <w:b w:val="1"/>
                <w:bCs w:val="1"/>
                <w:color w:val="ffffff"/>
                <w:sz w:val="20"/>
                <w:szCs w:val="20"/>
                <w:rtl w:val="0"/>
              </w:rPr>
              <w:t xml:space="preserve">What you will study</w:t>
            </w:r>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vAlign w:val="center"/>
          </w:tcPr>
          <w:p w:rsidR="00000000" w:rsidDel="00000000" w:rsidP="00000000" w:rsidRDefault="00000000" w:rsidRPr="00000000" w14:paraId="00000043">
            <w:pPr>
              <w:rPr/>
            </w:pPr>
            <w:r>
              <w:rPr>
                <w:rFonts w:ascii="Arial" w:cs="Arial" w:eastAsia="Arial" w:hAnsi="Arial"/>
                <w:b w:val="1"/>
                <w:bCs w:val="1"/>
                <w:color w:val="0b1b3b"/>
                <w:sz w:val="20"/>
                <w:szCs w:val="20"/>
                <w:rtl w:val="0"/>
              </w:rPr>
              <w:t xml:space="preserve">Art</w:t>
            </w:r>
            <w:r>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44">
            <w:pPr>
              <w:rPr/>
            </w:pPr>
            <w:r>
              <w:rPr>
                <w:rFonts w:ascii="Arial" w:cs="Arial" w:eastAsia="Arial" w:hAnsi="Arial"/>
                <w:color w:val="2b2b2b"/>
                <w:sz w:val="20"/>
                <w:szCs w:val="20"/>
                <w:rtl w:val="0"/>
              </w:rPr>
              <w:t xml:space="preserve">Nature in art, conservation messages, and how artists communicate ideas about the environment through image, colour, and symbol.</w:t>
            </w:r>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vAlign w:val="center"/>
          </w:tcPr>
          <w:p w:rsidR="00000000" w:rsidDel="00000000" w:rsidP="00000000" w:rsidRDefault="00000000" w:rsidRPr="00000000" w14:paraId="00000045">
            <w:pPr>
              <w:rPr/>
            </w:pPr>
            <w:r>
              <w:rPr>
                <w:rFonts w:ascii="Arial" w:cs="Arial" w:eastAsia="Arial" w:hAnsi="Arial"/>
                <w:b w:val="1"/>
                <w:bCs w:val="1"/>
                <w:color w:val="0b1b3b"/>
                <w:sz w:val="20"/>
                <w:szCs w:val="20"/>
                <w:rtl w:val="0"/>
              </w:rPr>
              <w:t xml:space="preserve">Economics</w:t>
            </w:r>
            <w:r>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46">
            <w:pPr>
              <w:rPr/>
            </w:pPr>
            <w:r>
              <w:rPr>
                <w:rFonts w:ascii="Arial" w:cs="Arial" w:eastAsia="Arial" w:hAnsi="Arial"/>
                <w:color w:val="2b2b2b"/>
                <w:sz w:val="20"/>
                <w:szCs w:val="20"/>
                <w:rtl w:val="0"/>
              </w:rPr>
              <w:t xml:space="preserve">Scarcity, land as a resource, simple trade-offs, and why different groups make different choices about how to use land.</w:t>
            </w:r>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vAlign w:val="center"/>
          </w:tcPr>
          <w:p w:rsidR="00000000" w:rsidDel="00000000" w:rsidP="00000000" w:rsidRDefault="00000000" w:rsidRPr="00000000" w14:paraId="00000047">
            <w:pPr>
              <w:rPr/>
            </w:pPr>
            <w:r>
              <w:rPr>
                <w:rFonts w:ascii="Arial" w:cs="Arial" w:eastAsia="Arial" w:hAnsi="Arial"/>
                <w:b w:val="1"/>
                <w:bCs w:val="1"/>
                <w:color w:val="0b1b3b"/>
                <w:sz w:val="20"/>
                <w:szCs w:val="20"/>
                <w:rtl w:val="0"/>
              </w:rPr>
              <w:t xml:space="preserve">English</w:t>
            </w:r>
            <w:r>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48">
            <w:pPr>
              <w:rPr/>
            </w:pPr>
            <w:r>
              <w:rPr>
                <w:rFonts w:ascii="Arial" w:cs="Arial" w:eastAsia="Arial" w:hAnsi="Arial"/>
                <w:color w:val="2b2b2b"/>
                <w:sz w:val="20"/>
                <w:szCs w:val="20"/>
                <w:rtl w:val="0"/>
              </w:rPr>
              <w:t xml:space="preserve">Reading non-fiction texts about conservation and the environment, summarising, and writing clear informative and persuasive responses.</w:t>
            </w:r>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vAlign w:val="center"/>
          </w:tcPr>
          <w:p w:rsidR="00000000" w:rsidDel="00000000" w:rsidP="00000000" w:rsidRDefault="00000000" w:rsidRPr="00000000" w14:paraId="00000049">
            <w:pPr>
              <w:rPr/>
            </w:pPr>
            <w:r>
              <w:rPr>
                <w:rFonts w:ascii="Arial" w:cs="Arial" w:eastAsia="Arial" w:hAnsi="Arial"/>
                <w:b w:val="1"/>
                <w:bCs w:val="1"/>
                <w:color w:val="0b1b3b"/>
                <w:sz w:val="20"/>
                <w:szCs w:val="20"/>
                <w:rtl w:val="0"/>
              </w:rPr>
              <w:t xml:space="preserve">Literature</w:t>
            </w:r>
            <w:r>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4A">
            <w:pPr>
              <w:rPr/>
            </w:pPr>
            <w:r>
              <w:rPr>
                <w:rFonts w:ascii="Arial" w:cs="Arial" w:eastAsia="Arial" w:hAnsi="Arial"/>
                <w:color w:val="2b2b2b"/>
                <w:sz w:val="20"/>
                <w:szCs w:val="20"/>
                <w:rtl w:val="0"/>
              </w:rPr>
              <w:t xml:space="preserve">Stories, poems, and picture books in which the natural world plays a central role — exploring setting, mood, and responsibility.</w:t>
            </w:r>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vAlign w:val="center"/>
          </w:tcPr>
          <w:p w:rsidR="00000000" w:rsidDel="00000000" w:rsidP="00000000" w:rsidRDefault="00000000" w:rsidRPr="00000000" w14:paraId="0000004B">
            <w:pPr>
              <w:rPr/>
            </w:pPr>
            <w:r>
              <w:rPr>
                <w:rFonts w:ascii="Arial" w:cs="Arial" w:eastAsia="Arial" w:hAnsi="Arial"/>
                <w:b w:val="1"/>
                <w:bCs w:val="1"/>
                <w:color w:val="0b1b3b"/>
                <w:sz w:val="20"/>
                <w:szCs w:val="20"/>
                <w:rtl w:val="0"/>
              </w:rPr>
              <w:t xml:space="preserve">Music</w:t>
            </w:r>
            <w:r>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4C">
            <w:pPr>
              <w:rPr/>
            </w:pPr>
            <w:r>
              <w:rPr>
                <w:rFonts w:ascii="Arial" w:cs="Arial" w:eastAsia="Arial" w:hAnsi="Arial"/>
                <w:color w:val="2b2b2b"/>
                <w:sz w:val="20"/>
                <w:szCs w:val="20"/>
                <w:rtl w:val="0"/>
              </w:rPr>
              <w:t xml:space="preserve">How music reflects nature, weather, and habitat. Listening carefully and describing what you hear with precision.</w:t>
            </w:r>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vAlign w:val="center"/>
          </w:tcPr>
          <w:p w:rsidR="00000000" w:rsidDel="00000000" w:rsidP="00000000" w:rsidRDefault="00000000" w:rsidRPr="00000000" w14:paraId="0000004D">
            <w:pPr>
              <w:rPr/>
            </w:pPr>
            <w:r>
              <w:rPr>
                <w:rFonts w:ascii="Arial" w:cs="Arial" w:eastAsia="Arial" w:hAnsi="Arial"/>
                <w:b w:val="1"/>
                <w:bCs w:val="1"/>
                <w:color w:val="0b1b3b"/>
                <w:sz w:val="20"/>
                <w:szCs w:val="20"/>
                <w:rtl w:val="0"/>
              </w:rPr>
              <w:t xml:space="preserve">Science</w:t>
            </w:r>
            <w:r>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4E">
            <w:pPr>
              <w:rPr/>
            </w:pPr>
            <w:r>
              <w:rPr>
                <w:rFonts w:ascii="Arial" w:cs="Arial" w:eastAsia="Arial" w:hAnsi="Arial"/>
                <w:color w:val="2b2b2b"/>
                <w:sz w:val="20"/>
                <w:szCs w:val="20"/>
                <w:rtl w:val="0"/>
              </w:rPr>
              <w:t xml:space="preserve">Living things, habitats, food chains, and how human activity affects ecosystems. Cause and effect in the natural world.</w:t>
            </w:r>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vAlign w:val="center"/>
          </w:tcPr>
          <w:p w:rsidR="00000000" w:rsidDel="00000000" w:rsidP="00000000" w:rsidRDefault="00000000" w:rsidRPr="00000000" w14:paraId="0000004F">
            <w:pPr>
              <w:rPr/>
            </w:pPr>
            <w:r>
              <w:rPr>
                <w:rFonts w:ascii="Arial" w:cs="Arial" w:eastAsia="Arial" w:hAnsi="Arial"/>
                <w:b w:val="1"/>
                <w:bCs w:val="1"/>
                <w:color w:val="0b1b3b"/>
                <w:sz w:val="20"/>
                <w:szCs w:val="20"/>
                <w:rtl w:val="0"/>
              </w:rPr>
              <w:t xml:space="preserve">Humanities</w:t>
            </w:r>
            <w:r>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50">
            <w:pPr>
              <w:rPr/>
            </w:pPr>
            <w:r>
              <w:rPr>
                <w:rFonts w:ascii="Arial" w:cs="Arial" w:eastAsia="Arial" w:hAnsi="Arial"/>
                <w:color w:val="2b2b2b"/>
                <w:sz w:val="20"/>
                <w:szCs w:val="20"/>
                <w:rtl w:val="0"/>
              </w:rPr>
              <w:t xml:space="preserve">Maps, land use, communities, and stewardship. How and why people use land differently around the world.</w:t>
            </w:r>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vAlign w:val="center"/>
          </w:tcPr>
          <w:p w:rsidR="00000000" w:rsidDel="00000000" w:rsidP="00000000" w:rsidRDefault="00000000" w:rsidRPr="00000000" w14:paraId="00000051">
            <w:pPr>
              <w:rPr/>
            </w:pPr>
            <w:r>
              <w:rPr>
                <w:rFonts w:ascii="Arial" w:cs="Arial" w:eastAsia="Arial" w:hAnsi="Arial"/>
                <w:b w:val="1"/>
                <w:bCs w:val="1"/>
                <w:color w:val="0b1b3b"/>
                <w:sz w:val="20"/>
                <w:szCs w:val="20"/>
                <w:rtl w:val="0"/>
              </w:rPr>
              <w:t xml:space="preserve">Mathematics</w:t>
            </w:r>
            <w:r>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52">
            <w:pPr>
              <w:rPr/>
            </w:pPr>
            <w:r>
              <w:rPr>
                <w:rFonts w:ascii="Arial" w:cs="Arial" w:eastAsia="Arial" w:hAnsi="Arial"/>
                <w:color w:val="2b2b2b"/>
                <w:sz w:val="20"/>
                <w:szCs w:val="20"/>
                <w:rtl w:val="0"/>
              </w:rPr>
              <w:t xml:space="preserve">Measurement, area, data handling, percentages, and practical problem-solving in environmental and land-use contexts.</w:t>
            </w:r>
            <w:r>
              <w:rPr>
                <w:rtl w:val="0"/>
              </w:rPr>
            </w:r>
          </w:p>
        </w:tc>
      </w:tr>
    </w:tbl>
    <w:p w:rsidR="00000000" w:rsidDel="00000000" w:rsidP="00000000" w:rsidRDefault="00000000" w:rsidRPr="00000000" w14:paraId="00000053">
      <w:pPr>
        <w:spacing w:after="0" w:before="160" w:lineRule="auto"/>
        <w:rPr/>
      </w:pPr>
      <w:r>
        <w:rPr>
          <w:rtl w:val="0"/>
        </w:rPr>
      </w:r>
    </w:p>
    <w:p w:rsidR="00000000" w:rsidDel="00000000" w:rsidP="00000000" w:rsidRDefault="00000000" w:rsidRPr="00000000" w14:paraId="00000054">
      <w:pPr>
        <w:spacing w:after="80" w:before="320" w:lineRule="auto"/>
        <w:rPr/>
      </w:pPr>
      <w:r>
        <w:rPr>
          <w:rFonts w:ascii="Arial" w:cs="Arial" w:eastAsia="Arial" w:hAnsi="Arial"/>
          <w:b w:val="1"/>
          <w:bCs w:val="1"/>
          <w:color w:val="c9a24a"/>
          <w:sz w:val="18"/>
          <w:szCs w:val="18"/>
          <w:rtl w:val="0"/>
        </w:rPr>
        <w:t xml:space="preserve">ON COMPETITION DAY</w:t>
      </w:r>
      <w:r>
        <w:rPr>
          <w:rtl w:val="0"/>
        </w:rPr>
      </w:r>
    </w:p>
    <w:p w:rsidR="00000000" w:rsidDel="00000000" w:rsidP="00000000" w:rsidRDefault="00000000" w:rsidRPr="00000000" w14:paraId="00000055">
      <w:pPr>
        <w:spacing w:after="80" w:before="80" w:lineRule="auto"/>
        <w:jc w:val="left"/>
        <w:rPr/>
      </w:pPr>
      <w:r>
        <w:rPr>
          <w:rFonts w:ascii="Arial" w:cs="Arial" w:eastAsia="Arial" w:hAnsi="Arial"/>
          <w:color w:val="2b2b2b"/>
          <w:sz w:val="22"/>
          <w:szCs w:val="22"/>
          <w:rtl w:val="0"/>
        </w:rPr>
        <w:t xml:space="preserve">Here is what to expect when you arrive:</w:t>
      </w:r>
      <w:r>
        <w:rPr>
          <w:rtl w:val="0"/>
        </w:rPr>
      </w:r>
    </w:p>
    <w:p w:rsidR="00000000" w:rsidDel="00000000" w:rsidP="00000000" w:rsidRDefault="00000000" w:rsidRPr="00000000" w14:paraId="00000056">
      <w:pPr>
        <w:spacing w:after="0" w:before="60" w:lineRule="auto"/>
        <w:rPr/>
      </w:pPr>
      <w:r>
        <w:rPr>
          <w:rtl w:val="0"/>
        </w:rPr>
      </w:r>
    </w:p>
    <w:p w:rsidR="00000000" w:rsidDel="00000000" w:rsidP="00000000" w:rsidRDefault="00000000" w:rsidRPr="00000000" w14:paraId="0000005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Arrive at check-in with your school coordinator — they will have all the details you need</w:t>
      </w:r>
      <w:r>
        <w:rPr>
          <w:rtl w:val="0"/>
        </w:rPr>
      </w:r>
    </w:p>
    <w:p w:rsidR="00000000" w:rsidDel="00000000" w:rsidP="00000000" w:rsidRDefault="00000000" w:rsidRPr="00000000" w14:paraId="0000005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The competition opens with an Opening Ceremony. Listen carefully — you will be told everything you need to know about the day ahead</w:t>
      </w:r>
      <w:r>
        <w:rPr>
          <w:rtl w:val="0"/>
        </w:rPr>
      </w:r>
    </w:p>
    <w:p w:rsidR="00000000" w:rsidDel="00000000" w:rsidP="00000000" w:rsidRDefault="00000000" w:rsidRPr="00000000" w14:paraId="0000005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Events take place across two days. You will have time between events to rest and eat — meals are almost always included</w:t>
      </w:r>
      <w:r>
        <w:rPr>
          <w:rtl w:val="0"/>
        </w:rPr>
      </w:r>
    </w:p>
    <w:p w:rsidR="00000000" w:rsidDel="00000000" w:rsidP="00000000" w:rsidRDefault="00000000" w:rsidRPr="00000000" w14:paraId="0000005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Read every question carefully before answering. Think before you write</w:t>
      </w:r>
      <w:r>
        <w:rPr>
          <w:rtl w:val="0"/>
        </w:rPr>
      </w:r>
    </w:p>
    <w:p w:rsidR="00000000" w:rsidDel="00000000" w:rsidP="00000000" w:rsidRDefault="00000000" w:rsidRPr="00000000" w14:paraId="0000005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In team events, listen to your teammates — the strongest teams coordinate calmly, not loudly</w:t>
      </w:r>
      <w:r>
        <w:rPr>
          <w:rtl w:val="0"/>
        </w:rPr>
      </w:r>
    </w:p>
    <w:p w:rsidR="00000000" w:rsidDel="00000000" w:rsidP="00000000" w:rsidRDefault="00000000" w:rsidRPr="00000000" w14:paraId="0000005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The day ends with a Closing Ceremony and awards presentation</w:t>
      </w:r>
      <w:r>
        <w:rPr>
          <w:rtl w:val="0"/>
        </w:rPr>
      </w:r>
    </w:p>
    <w:p w:rsidR="00000000" w:rsidDel="00000000" w:rsidP="00000000" w:rsidRDefault="00000000" w:rsidRPr="00000000" w14:paraId="0000005D">
      <w:pPr>
        <w:spacing w:after="0" w:before="120" w:lineRule="auto"/>
        <w:rPr/>
      </w:pPr>
      <w:r>
        <w:rPr>
          <w:rtl w:val="0"/>
        </w:rPr>
      </w:r>
    </w:p>
    <w:tbl>
      <w:tblPr>
        <w:tblStyle w:val="Table4"/>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6f1e6" w:val="clear"/>
            <w:tcMar>
              <w:top w:w="160.0" w:type="dxa"/>
              <w:left w:w="200.0" w:type="dxa"/>
              <w:bottom w:w="160.0" w:type="dxa"/>
              <w:right w:w="200.0" w:type="dxa"/>
            </w:tcMar>
          </w:tcPr>
          <w:p w:rsidR="00000000" w:rsidDel="00000000" w:rsidP="00000000" w:rsidRDefault="00000000" w:rsidRPr="00000000" w14:paraId="0000005E">
            <w:pPr>
              <w:spacing w:after="80" w:before="0" w:lineRule="auto"/>
              <w:rPr/>
            </w:pPr>
            <w:r>
              <w:rPr>
                <w:rFonts w:ascii="Arial" w:cs="Arial" w:eastAsia="Arial" w:hAnsi="Arial"/>
                <w:b w:val="1"/>
                <w:bCs w:val="1"/>
                <w:color w:val="0b1b3b"/>
                <w:sz w:val="22"/>
                <w:szCs w:val="22"/>
                <w:rtl w:val="0"/>
              </w:rPr>
              <w:t xml:space="preserve">On the day, remember:</w:t>
            </w:r>
            <w:r>
              <w:rPr>
                <w:rtl w:val="0"/>
              </w:rPr>
            </w:r>
          </w:p>
          <w:p w:rsidR="00000000" w:rsidDel="00000000" w:rsidP="00000000" w:rsidRDefault="00000000" w:rsidRPr="00000000" w14:paraId="0000005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Read carefully. Think before you write. Stay calm.</w:t>
            </w:r>
            <w:r>
              <w:rPr>
                <w:rtl w:val="0"/>
              </w:rPr>
            </w:r>
          </w:p>
          <w:p w:rsidR="00000000" w:rsidDel="00000000" w:rsidP="00000000" w:rsidRDefault="00000000" w:rsidRPr="00000000" w14:paraId="0000006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The tasks are designed to be genuinely challenging. Difficulty is expected — it is the point.</w:t>
            </w:r>
            <w:r>
              <w:rPr>
                <w:rtl w:val="0"/>
              </w:rPr>
            </w:r>
          </w:p>
          <w:p w:rsidR="00000000" w:rsidDel="00000000" w:rsidP="00000000" w:rsidRDefault="00000000" w:rsidRPr="00000000" w14:paraId="0000006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You are being asked to show how you think, not just what you know.</w:t>
            </w:r>
            <w:r>
              <w:rPr>
                <w:rtl w:val="0"/>
              </w:rPr>
            </w:r>
          </w:p>
          <w:p w:rsidR="00000000" w:rsidDel="00000000" w:rsidP="00000000" w:rsidRDefault="00000000" w:rsidRPr="00000000" w14:paraId="0000006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Whatever happened this morning — it does not count. Today is a fresh start.</w:t>
            </w:r>
            <w:r>
              <w:rPr>
                <w:rtl w:val="0"/>
              </w:rPr>
            </w:r>
          </w:p>
        </w:tc>
      </w:tr>
    </w:tbl>
    <w:p w:rsidR="00000000" w:rsidDel="00000000" w:rsidP="00000000" w:rsidRDefault="00000000" w:rsidRPr="00000000" w14:paraId="00000063">
      <w:pPr>
        <w:pBdr>
          <w:bottom w:color="cccccc" w:space="1" w:sz="4" w:val="single"/>
        </w:pBdr>
        <w:spacing w:after="120" w:before="120" w:lineRule="auto"/>
        <w:rPr/>
      </w:pPr>
      <w:r>
        <w:rPr>
          <w:rtl w:val="0"/>
        </w:rPr>
      </w:r>
    </w:p>
    <w:p w:rsidR="00000000" w:rsidDel="00000000" w:rsidP="00000000" w:rsidRDefault="00000000" w:rsidRPr="00000000" w14:paraId="00000064">
      <w:pPr>
        <w:spacing w:after="0" w:before="80" w:lineRule="auto"/>
        <w:jc w:val="center"/>
        <w:rPr/>
      </w:pPr>
      <w:r>
        <w:rPr>
          <w:rFonts w:ascii="Arial" w:cs="Arial" w:eastAsia="Arial" w:hAnsi="Arial"/>
          <w:i w:val="1"/>
          <w:iCs w:val="1"/>
          <w:color w:val="888888"/>
          <w:sz w:val="18"/>
          <w:szCs w:val="18"/>
          <w:rtl w:val="0"/>
        </w:rPr>
        <w:t xml:space="preserve">QuadAcademia  ·  Quadathlon Cup  ·  The Quadathlon Handbook  ·  Explorers Division  ·  2026/2027</w:t>
      </w:r>
      <w:r>
        <w:rPr>
          <w:rtl w:val="0"/>
        </w:rPr>
      </w:r>
    </w:p>
    <w:p w:rsidR="00000000" w:rsidDel="00000000" w:rsidP="00000000" w:rsidRDefault="00000000" w:rsidRPr="00000000" w14:paraId="00000065">
      <w:pPr>
        <w:spacing w:after="0" w:before="40" w:lineRule="auto"/>
        <w:jc w:val="center"/>
        <w:rPr/>
      </w:pPr>
      <w:r>
        <w:rPr>
          <w:rFonts w:ascii="Arial" w:cs="Arial" w:eastAsia="Arial" w:hAnsi="Arial"/>
          <w:i w:val="1"/>
          <w:iCs w:val="1"/>
          <w:color w:val="888888"/>
          <w:sz w:val="18"/>
          <w:szCs w:val="18"/>
          <w:rtl w:val="0"/>
        </w:rPr>
        <w:t xml:space="preserve">gaqcup.com/handbook  ·  info@gaqcup.com  ·  For registered participants only</w:t>
      </w:r>
      <w:r>
        <w:rPr>
          <w:rtl w:val="0"/>
        </w:rPr>
      </w:r>
    </w:p>
    <w:sectPr>
      <w:pgSz w:h="16838" w:w="11906" w:orient="portrait"/>
      <w:pgMar w:bottom="1080" w:top="1080" w:left="1080" w:right="108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560" w:hanging="280"/>
      </w:pPr>
      <w:rPr>
        <w:rFonts w:ascii="Arial" w:cs="Arial" w:eastAsia="Arial" w:hAnsi="Arial"/>
        <w:color w:val="c9a24a"/>
        <w:sz w:val="22"/>
        <w:szCs w:val="22"/>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240" w:line="240" w:lineRule="auto"/>
      <w:ind w:left="0" w:right="0" w:firstLine="0"/>
      <w:jc w:val="left"/>
    </w:pPr>
    <w:rPr>
      <w:rFonts w:ascii="Arial" w:cs="Arial" w:eastAsia="Arial" w:hAnsi="Arial"/>
      <w:b w:val="1"/>
      <w:bCs w:val="1"/>
      <w:i w:val="0"/>
      <w:iCs w:val="0"/>
      <w:smallCaps w:val="0"/>
      <w:strike w:val="0"/>
      <w:color w:val="0b1b3b"/>
      <w:sz w:val="36"/>
      <w:szCs w:val="36"/>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40" w:lineRule="auto"/>
      <w:ind w:left="0" w:right="0" w:firstLine="0"/>
      <w:jc w:val="left"/>
    </w:pPr>
    <w:rPr>
      <w:rFonts w:ascii="Arial" w:cs="Arial" w:eastAsia="Arial" w:hAnsi="Arial"/>
      <w:b w:val="1"/>
      <w:bCs w:val="1"/>
      <w:i w:val="0"/>
      <w:iCs w:val="0"/>
      <w:smallCaps w:val="0"/>
      <w:strike w:val="0"/>
      <w:color w:val="0b1b3b"/>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1"/>
      <w:iCs w:val="1"/>
      <w:smallCaps w:val="0"/>
      <w:strike w:val="0"/>
      <w:color w:val="2e74b5"/>
      <w:sz w:val="22"/>
      <w:szCs w:val="22"/>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2"/>
      <w:szCs w:val="22"/>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2"/>
      <w:szCs w:val="22"/>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000000"/>
      <w:sz w:val="56"/>
      <w:szCs w:val="56"/>
      <w:u w:val="none"/>
      <w:shd w:fill="auto" w:val="clear"/>
      <w:vertAlign w:val="baseline"/>
    </w:rPr>
  </w:style>
  <w:style w:type="paragraph" w:styleId="Strong">
    <w:name w:val="Strong"/>
    <w:basedOn w:val="Normal"/>
    <w:next w:val="Normal"/>
    <w:qFormat w:val="1"/>
    <w:rPr>
      <w:b w:val="1"/>
      <w:bCs w:val="1"/>
    </w:rPr>
  </w:style>
  <w:style w:type="paragraph" w:styleId="ListParagraph">
    <w:name w:val="List Paragraph"/>
    <w:basedOn w:val="Normal"/>
    <w:qFormat w:val="1"/>
  </w:style>
  <w:style w:type="character" w:styleId="Hyperlink">
    <w:name w:val="Hyperlink"/>
    <w:basedOn w:val="DefaultParagraphFont"/>
    <w:uiPriority w:val="99"/>
    <w:unhideWhenUsed w:val="1"/>
    <w:rPr>
      <w:color w:val="0563c1"/>
      <w:u w:val="single"/>
    </w:rPr>
  </w:style>
  <w:style w:type="character" w:styleId="FootnoteReference">
    <w:name w:val="footnote reference"/>
    <w:basedOn w:val="DefaultParagraphFont"/>
    <w:uiPriority w:val="99"/>
    <w:semiHidden w:val="1"/>
    <w:unhideWhenUsed w:val="1"/>
    <w:rPr>
      <w:vertAlign w:val="superscript"/>
    </w:rPr>
  </w:style>
  <w:style w:type="paragraph" w:styleId="FootnoteText">
    <w:name w:val="footnote text"/>
    <w:basedOn w:val="Normal"/>
    <w:link w:val="FootnoteTextChar"/>
    <w:uiPriority w:val="99"/>
    <w:semiHidden w:val="1"/>
    <w:unhideWhenUsed w:val="1"/>
    <w:pPr>
      <w:spacing w:after="0" w:line="240" w:lineRule="auto"/>
    </w:pPr>
    <w:rPr>
      <w:sz w:val="20"/>
      <w:szCs w:val="20"/>
    </w:rPr>
  </w:style>
  <w:style w:type="character" w:styleId="FootnoteTextChar">
    <w:name w:val="Footnote Text Char"/>
    <w:basedOn w:val="DefaultParagraphFont"/>
    <w:link w:val="FootnoteText"/>
    <w:uiPriority w:val="99"/>
    <w:semiHidden w:val="1"/>
    <w:unhideWhenUsed w:val="1"/>
    <w:rPr>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gaqcup.com/handboo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DIoBvwasCoq9dcP9uiXXPX/sHw==">CgMxLjA4AHIhMUdrLTV6ZnU2UWtFN3d6ZHNIYjJKalA3V1FwcFBscU9o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2026-03-30T15:38:56.122Z</dcterms:created>
  <dc:creator>Un-named</dc:creator>
</cp:coreProperties>
</file>

<file path=docProps/custom.xml><?xml version="1.0" encoding="utf-8"?>
<Properties xmlns="http://schemas.openxmlformats.org/officeDocument/2006/custom-properties" xmlns:vt="http://schemas.openxmlformats.org/officeDocument/2006/docPropsVTypes"/>
</file>